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97F" w:rsidRDefault="00C1197F" w:rsidP="00C1197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9152CF">
        <w:rPr>
          <w:rFonts w:ascii="Arial" w:hAnsi="Arial" w:cs="Arial"/>
          <w:bCs/>
          <w:spacing w:val="-3"/>
          <w:sz w:val="22"/>
          <w:szCs w:val="22"/>
        </w:rPr>
        <w:t>amendments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A6798">
        <w:rPr>
          <w:rFonts w:ascii="Arial" w:hAnsi="Arial" w:cs="Arial"/>
          <w:bCs/>
          <w:spacing w:val="-3"/>
          <w:sz w:val="22"/>
          <w:szCs w:val="22"/>
        </w:rPr>
        <w:t xml:space="preserve">to the </w:t>
      </w:r>
      <w:r w:rsidR="000A6798">
        <w:rPr>
          <w:rFonts w:ascii="Arial" w:hAnsi="Arial" w:cs="Arial"/>
          <w:bCs/>
          <w:i/>
          <w:spacing w:val="-3"/>
          <w:sz w:val="22"/>
          <w:szCs w:val="22"/>
        </w:rPr>
        <w:t>State Financial Institutions and Metway Merger Facilitation Act 1996</w:t>
      </w:r>
      <w:r w:rsidR="000A6798">
        <w:rPr>
          <w:rFonts w:ascii="Arial" w:hAnsi="Arial" w:cs="Arial"/>
          <w:bCs/>
          <w:spacing w:val="-3"/>
          <w:sz w:val="22"/>
          <w:szCs w:val="22"/>
        </w:rPr>
        <w:t xml:space="preserve"> (the Act) </w:t>
      </w:r>
      <w:r>
        <w:rPr>
          <w:rFonts w:ascii="Arial" w:hAnsi="Arial" w:cs="Arial"/>
          <w:bCs/>
          <w:spacing w:val="-3"/>
          <w:sz w:val="22"/>
          <w:szCs w:val="22"/>
        </w:rPr>
        <w:t>remove the requirement for directors of the Suncorp group of companies to be residents of Queensland (other than the managing director) as currently imposed under Part 6 of the</w:t>
      </w:r>
      <w:r w:rsidR="000A6798">
        <w:rPr>
          <w:rFonts w:ascii="Arial" w:hAnsi="Arial" w:cs="Arial"/>
          <w:bCs/>
          <w:spacing w:val="-3"/>
          <w:sz w:val="22"/>
          <w:szCs w:val="22"/>
        </w:rPr>
        <w:t xml:space="preserve"> Act.</w:t>
      </w:r>
    </w:p>
    <w:p w:rsidR="00C1197F" w:rsidRPr="00A527A5" w:rsidRDefault="00C1197F" w:rsidP="00C1197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9152CF">
        <w:rPr>
          <w:rFonts w:ascii="Arial" w:hAnsi="Arial" w:cs="Arial"/>
          <w:bCs/>
          <w:spacing w:val="-3"/>
          <w:sz w:val="22"/>
          <w:szCs w:val="22"/>
        </w:rPr>
        <w:t xml:space="preserve">amendments </w:t>
      </w:r>
      <w:r>
        <w:rPr>
          <w:rFonts w:ascii="Arial" w:hAnsi="Arial" w:cs="Arial"/>
          <w:bCs/>
          <w:spacing w:val="-3"/>
          <w:sz w:val="22"/>
          <w:szCs w:val="22"/>
        </w:rPr>
        <w:t>also remove and extinguish the State’s guarantee of all insurance and indemnity obligations by Suncorp prior to its merger with Metway as provided in Part 7 of the Act (specifically the State’s guarantee of the insurance and indemnity obligations as they applied to Suncorp Insurance and Finance).</w:t>
      </w:r>
    </w:p>
    <w:p w:rsidR="00C1197F" w:rsidRPr="000A6798" w:rsidRDefault="00C1197F" w:rsidP="00C1197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9152CF">
        <w:rPr>
          <w:rFonts w:ascii="Arial" w:hAnsi="Arial" w:cs="Arial"/>
          <w:bCs/>
          <w:spacing w:val="-3"/>
          <w:sz w:val="22"/>
          <w:szCs w:val="22"/>
        </w:rPr>
        <w:t xml:space="preserve">inclusion and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introduction of </w:t>
      </w:r>
      <w:r w:rsidR="009152CF">
        <w:rPr>
          <w:rFonts w:ascii="Arial" w:hAnsi="Arial" w:cs="Arial"/>
          <w:bCs/>
          <w:spacing w:val="-3"/>
          <w:sz w:val="22"/>
          <w:szCs w:val="22"/>
        </w:rPr>
        <w:t xml:space="preserve">amendments to </w:t>
      </w:r>
      <w:r w:rsidR="008B606A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8B606A" w:rsidRPr="008B606A">
        <w:rPr>
          <w:rFonts w:ascii="Arial" w:hAnsi="Arial" w:cs="Arial"/>
          <w:bCs/>
          <w:i/>
          <w:spacing w:val="-3"/>
          <w:sz w:val="22"/>
          <w:szCs w:val="22"/>
        </w:rPr>
        <w:t>State</w:t>
      </w:r>
      <w:r w:rsidRPr="008B606A">
        <w:rPr>
          <w:rFonts w:ascii="Arial" w:hAnsi="Arial" w:cs="Arial"/>
          <w:bCs/>
          <w:i/>
          <w:spacing w:val="-3"/>
          <w:sz w:val="22"/>
          <w:szCs w:val="22"/>
        </w:rPr>
        <w:t xml:space="preserve"> Financial Institutions and Metway Merger Facilitation </w:t>
      </w:r>
      <w:r w:rsidR="009152CF" w:rsidRPr="008B606A">
        <w:rPr>
          <w:rFonts w:ascii="Arial" w:hAnsi="Arial" w:cs="Arial"/>
          <w:bCs/>
          <w:i/>
          <w:spacing w:val="-3"/>
          <w:sz w:val="22"/>
          <w:szCs w:val="22"/>
        </w:rPr>
        <w:t>Act 1996</w:t>
      </w:r>
      <w:r w:rsidR="009152CF">
        <w:rPr>
          <w:rFonts w:ascii="Arial" w:hAnsi="Arial" w:cs="Arial"/>
          <w:bCs/>
          <w:spacing w:val="-3"/>
          <w:sz w:val="22"/>
          <w:szCs w:val="22"/>
        </w:rPr>
        <w:t xml:space="preserve"> in a Treasury omnibus Bill</w:t>
      </w:r>
      <w:r>
        <w:rPr>
          <w:rFonts w:ascii="Arial" w:hAnsi="Arial" w:cs="Arial"/>
          <w:sz w:val="22"/>
          <w:szCs w:val="22"/>
        </w:rPr>
        <w:t>.</w:t>
      </w:r>
    </w:p>
    <w:p w:rsidR="000A6798" w:rsidRPr="000A6798" w:rsidRDefault="000A6798" w:rsidP="00C1197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0A6798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0A6798" w:rsidRPr="00CE6FBA" w:rsidRDefault="000A6798" w:rsidP="000A6798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Nil</w:t>
      </w:r>
    </w:p>
    <w:p w:rsidR="00C1197F" w:rsidRPr="00C07656" w:rsidRDefault="00C1197F" w:rsidP="00C1197F">
      <w:pPr>
        <w:jc w:val="both"/>
        <w:rPr>
          <w:rFonts w:ascii="Arial" w:hAnsi="Arial" w:cs="Arial"/>
          <w:sz w:val="22"/>
          <w:szCs w:val="22"/>
        </w:rPr>
      </w:pPr>
    </w:p>
    <w:p w:rsidR="003E2C35" w:rsidRPr="004C4A42" w:rsidRDefault="003E2C35" w:rsidP="003E2C35">
      <w:pPr>
        <w:rPr>
          <w:rFonts w:ascii="Arial" w:hAnsi="Arial" w:cs="Arial"/>
          <w:sz w:val="22"/>
          <w:szCs w:val="22"/>
        </w:rPr>
      </w:pPr>
    </w:p>
    <w:p w:rsidR="003E2C35" w:rsidRDefault="003E2C35" w:rsidP="003E2C35">
      <w:pPr>
        <w:tabs>
          <w:tab w:val="left" w:pos="2835"/>
        </w:tabs>
        <w:rPr>
          <w:rFonts w:ascii="Arial" w:hAnsi="Arial" w:cs="Arial"/>
          <w:kern w:val="20"/>
          <w:sz w:val="22"/>
          <w:szCs w:val="22"/>
        </w:rPr>
      </w:pPr>
    </w:p>
    <w:p w:rsidR="003E2C35" w:rsidRDefault="003E2C35" w:rsidP="003E2C35">
      <w:pPr>
        <w:tabs>
          <w:tab w:val="left" w:pos="2835"/>
        </w:tabs>
        <w:rPr>
          <w:rFonts w:ascii="Arial" w:hAnsi="Arial" w:cs="Arial"/>
          <w:kern w:val="20"/>
          <w:sz w:val="22"/>
          <w:szCs w:val="22"/>
        </w:rPr>
      </w:pPr>
    </w:p>
    <w:p w:rsidR="003E2C35" w:rsidRDefault="003E2C35" w:rsidP="003E2C35">
      <w:pPr>
        <w:tabs>
          <w:tab w:val="left" w:pos="2835"/>
        </w:tabs>
        <w:rPr>
          <w:rFonts w:ascii="Arial" w:hAnsi="Arial" w:cs="Arial"/>
          <w:kern w:val="20"/>
          <w:sz w:val="22"/>
          <w:szCs w:val="22"/>
        </w:rPr>
      </w:pPr>
    </w:p>
    <w:p w:rsidR="003E2C35" w:rsidRDefault="003E2C35" w:rsidP="003E2C35">
      <w:pPr>
        <w:tabs>
          <w:tab w:val="left" w:pos="2835"/>
        </w:tabs>
        <w:rPr>
          <w:rFonts w:ascii="Arial" w:hAnsi="Arial" w:cs="Arial"/>
          <w:kern w:val="20"/>
          <w:sz w:val="22"/>
          <w:szCs w:val="22"/>
        </w:rPr>
      </w:pPr>
    </w:p>
    <w:p w:rsidR="003E2C35" w:rsidRDefault="003E2C35" w:rsidP="003E2C35">
      <w:pPr>
        <w:tabs>
          <w:tab w:val="left" w:pos="2835"/>
        </w:tabs>
        <w:rPr>
          <w:rFonts w:ascii="Arial" w:hAnsi="Arial" w:cs="Arial"/>
          <w:kern w:val="20"/>
          <w:sz w:val="22"/>
          <w:szCs w:val="22"/>
        </w:rPr>
      </w:pPr>
    </w:p>
    <w:p w:rsidR="00C1197F" w:rsidRDefault="00C1197F" w:rsidP="00C1197F">
      <w:pPr>
        <w:tabs>
          <w:tab w:val="left" w:pos="2835"/>
        </w:tabs>
        <w:rPr>
          <w:kern w:val="20"/>
        </w:rPr>
      </w:pPr>
    </w:p>
    <w:p w:rsidR="00E16127" w:rsidRDefault="00E16127"/>
    <w:p w:rsidR="003E2C35" w:rsidRDefault="003E2C35"/>
    <w:p w:rsidR="003E2C35" w:rsidRDefault="003E2C35"/>
    <w:p w:rsidR="003E2C35" w:rsidRDefault="003E2C35"/>
    <w:p w:rsidR="003E2C35" w:rsidRDefault="003E2C35"/>
    <w:p w:rsidR="003E2C35" w:rsidRDefault="003E2C35"/>
    <w:p w:rsidR="003E2C35" w:rsidRDefault="003E2C35"/>
    <w:p w:rsidR="003E2C35" w:rsidRDefault="003E2C35"/>
    <w:p w:rsidR="003E2C35" w:rsidRDefault="003E2C35"/>
    <w:p w:rsidR="003E2C35" w:rsidRDefault="003E2C35"/>
    <w:p w:rsidR="003E2C35" w:rsidRDefault="003E2C35"/>
    <w:p w:rsidR="003E2C35" w:rsidRDefault="003E2C35"/>
    <w:p w:rsidR="003E2C35" w:rsidRDefault="003E2C35"/>
    <w:p w:rsidR="003E2C35" w:rsidRDefault="003E2C35"/>
    <w:p w:rsidR="003E2C35" w:rsidRPr="003E2C35" w:rsidRDefault="003E2C35" w:rsidP="000A6798"/>
    <w:sectPr w:rsidR="003E2C35" w:rsidRPr="003E2C35" w:rsidSect="006713BA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019" w:rsidRDefault="00001019">
      <w:r>
        <w:separator/>
      </w:r>
    </w:p>
  </w:endnote>
  <w:endnote w:type="continuationSeparator" w:id="0">
    <w:p w:rsidR="00001019" w:rsidRDefault="0000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019" w:rsidRDefault="00001019">
      <w:r>
        <w:separator/>
      </w:r>
    </w:p>
  </w:footnote>
  <w:footnote w:type="continuationSeparator" w:id="0">
    <w:p w:rsidR="00001019" w:rsidRDefault="00001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97F" w:rsidRDefault="00C1197F" w:rsidP="00C1197F">
    <w:pPr>
      <w:pStyle w:val="Header"/>
      <w:tabs>
        <w:tab w:val="clear" w:pos="8306"/>
        <w:tab w:val="right" w:pos="8931"/>
      </w:tabs>
      <w:ind w:firstLine="2880"/>
      <w:rPr>
        <w:rFonts w:ascii="Arial" w:hAnsi="Arial" w:cs="Arial"/>
        <w:b/>
        <w:sz w:val="22"/>
        <w:szCs w:val="22"/>
        <w:u w:val="single"/>
      </w:rPr>
    </w:pPr>
  </w:p>
  <w:p w:rsidR="00C1197F" w:rsidRPr="003C48AF" w:rsidRDefault="004F231A" w:rsidP="00C1197F">
    <w:pPr>
      <w:pStyle w:val="Header"/>
      <w:tabs>
        <w:tab w:val="clear" w:pos="8306"/>
        <w:tab w:val="right" w:pos="8931"/>
      </w:tabs>
      <w:ind w:firstLine="2880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97F" w:rsidRPr="003C48AF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9152CF">
      <w:rPr>
        <w:rFonts w:ascii="Arial" w:hAnsi="Arial" w:cs="Arial"/>
        <w:b/>
        <w:sz w:val="22"/>
        <w:szCs w:val="22"/>
        <w:u w:val="single"/>
      </w:rPr>
      <w:t>February 2010</w:t>
    </w:r>
    <w:r w:rsidR="00C1197F" w:rsidRPr="003C48AF">
      <w:rPr>
        <w:rFonts w:ascii="Arial" w:hAnsi="Arial" w:cs="Arial"/>
        <w:b/>
        <w:sz w:val="22"/>
        <w:szCs w:val="22"/>
      </w:rPr>
      <w:tab/>
    </w:r>
  </w:p>
  <w:p w:rsidR="00C1197F" w:rsidRPr="009152CF" w:rsidRDefault="009152CF" w:rsidP="00C1197F">
    <w:pPr>
      <w:pStyle w:val="Header"/>
      <w:spacing w:before="120"/>
      <w:rPr>
        <w:rFonts w:ascii="Arial" w:hAnsi="Arial" w:cs="Arial"/>
        <w:b/>
        <w:i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Amendments to the </w:t>
    </w:r>
    <w:r w:rsidR="00C1197F" w:rsidRPr="009152CF">
      <w:rPr>
        <w:rFonts w:ascii="Arial" w:hAnsi="Arial" w:cs="Arial"/>
        <w:b/>
        <w:i/>
        <w:sz w:val="22"/>
        <w:szCs w:val="22"/>
        <w:u w:val="single"/>
      </w:rPr>
      <w:t xml:space="preserve">State Financial Institutions and Metway Merger Facilitation </w:t>
    </w:r>
    <w:r w:rsidRPr="009152CF">
      <w:rPr>
        <w:rFonts w:ascii="Arial" w:hAnsi="Arial" w:cs="Arial"/>
        <w:b/>
        <w:i/>
        <w:sz w:val="22"/>
        <w:szCs w:val="22"/>
        <w:u w:val="single"/>
      </w:rPr>
      <w:t>Act 1996</w:t>
    </w:r>
  </w:p>
  <w:p w:rsidR="00C1197F" w:rsidRPr="003C48AF" w:rsidRDefault="00C1197F" w:rsidP="00C1197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C48AF">
      <w:rPr>
        <w:rFonts w:ascii="Arial" w:hAnsi="Arial" w:cs="Arial"/>
        <w:b/>
        <w:sz w:val="22"/>
        <w:szCs w:val="22"/>
        <w:u w:val="single"/>
      </w:rPr>
      <w:t>Treasurer and Minister for Employment and Economic Development</w:t>
    </w:r>
  </w:p>
  <w:p w:rsidR="00C1197F" w:rsidRPr="00F10DF9" w:rsidRDefault="00C1197F" w:rsidP="00C1197F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  <w:p w:rsidR="00C1197F" w:rsidRDefault="00C119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12F7B"/>
    <w:multiLevelType w:val="hybridMultilevel"/>
    <w:tmpl w:val="913874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BEA2F40"/>
    <w:lvl w:ilvl="0" w:tplc="360CD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B6"/>
    <w:rsid w:val="00001019"/>
    <w:rsid w:val="00020854"/>
    <w:rsid w:val="00067409"/>
    <w:rsid w:val="000A6798"/>
    <w:rsid w:val="000B4E34"/>
    <w:rsid w:val="000D6848"/>
    <w:rsid w:val="001C2E8F"/>
    <w:rsid w:val="00202302"/>
    <w:rsid w:val="002A7EF2"/>
    <w:rsid w:val="002C3E83"/>
    <w:rsid w:val="002E7A4A"/>
    <w:rsid w:val="0030626B"/>
    <w:rsid w:val="003D0D2D"/>
    <w:rsid w:val="003D38B6"/>
    <w:rsid w:val="003D61A1"/>
    <w:rsid w:val="003E2C35"/>
    <w:rsid w:val="00442598"/>
    <w:rsid w:val="004A5D2F"/>
    <w:rsid w:val="004E7BB6"/>
    <w:rsid w:val="004F231A"/>
    <w:rsid w:val="00510362"/>
    <w:rsid w:val="00517552"/>
    <w:rsid w:val="00555496"/>
    <w:rsid w:val="00585D9E"/>
    <w:rsid w:val="005954CF"/>
    <w:rsid w:val="005C080F"/>
    <w:rsid w:val="00615913"/>
    <w:rsid w:val="00666EBF"/>
    <w:rsid w:val="006713BA"/>
    <w:rsid w:val="00692B8D"/>
    <w:rsid w:val="006C3362"/>
    <w:rsid w:val="00746EAF"/>
    <w:rsid w:val="00816C10"/>
    <w:rsid w:val="008310FA"/>
    <w:rsid w:val="00874FC9"/>
    <w:rsid w:val="00897BC7"/>
    <w:rsid w:val="008B606A"/>
    <w:rsid w:val="008D20DC"/>
    <w:rsid w:val="00913041"/>
    <w:rsid w:val="009152CF"/>
    <w:rsid w:val="00924F18"/>
    <w:rsid w:val="00941643"/>
    <w:rsid w:val="00980E39"/>
    <w:rsid w:val="009D126A"/>
    <w:rsid w:val="00A72100"/>
    <w:rsid w:val="00A76094"/>
    <w:rsid w:val="00AB1D09"/>
    <w:rsid w:val="00B02977"/>
    <w:rsid w:val="00B646D8"/>
    <w:rsid w:val="00BB1115"/>
    <w:rsid w:val="00BD7FBB"/>
    <w:rsid w:val="00C1197F"/>
    <w:rsid w:val="00C415B7"/>
    <w:rsid w:val="00C749F9"/>
    <w:rsid w:val="00CD75FB"/>
    <w:rsid w:val="00D23B48"/>
    <w:rsid w:val="00DA1AEC"/>
    <w:rsid w:val="00E16127"/>
    <w:rsid w:val="00E94806"/>
    <w:rsid w:val="00EF012B"/>
    <w:rsid w:val="00F73C6F"/>
    <w:rsid w:val="00FC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97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B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7BB6"/>
    <w:pPr>
      <w:tabs>
        <w:tab w:val="center" w:pos="4153"/>
        <w:tab w:val="right" w:pos="8306"/>
      </w:tabs>
    </w:pPr>
  </w:style>
  <w:style w:type="paragraph" w:customStyle="1" w:styleId="a">
    <w:basedOn w:val="Normal"/>
    <w:rsid w:val="00C1197F"/>
    <w:pPr>
      <w:tabs>
        <w:tab w:val="left" w:pos="8278"/>
      </w:tabs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CharChar1">
    <w:name w:val="Char Char1"/>
    <w:basedOn w:val="Normal"/>
    <w:rsid w:val="003E2C35"/>
    <w:pPr>
      <w:tabs>
        <w:tab w:val="left" w:pos="8278"/>
      </w:tabs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BalloonText">
    <w:name w:val="Balloon Text"/>
    <w:basedOn w:val="Normal"/>
    <w:semiHidden/>
    <w:rsid w:val="003E2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667</Characters>
  <Application>Microsoft Office Word</Application>
  <DocSecurity>0</DocSecurity>
  <Lines>34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787</CharactersWithSpaces>
  <SharedDoc>false</SharedDoc>
  <HyperlinkBase>https://www.cabinet.qld.gov.au/documents/2010/Feb/State Financial Institutions and Metway Merger Act/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suncorp,metway,merger</cp:keywords>
  <dc:description/>
  <cp:lastModifiedBy/>
  <cp:revision>2</cp:revision>
  <cp:lastPrinted>2010-03-29T01:52:00Z</cp:lastPrinted>
  <dcterms:created xsi:type="dcterms:W3CDTF">2017-10-24T22:19:00Z</dcterms:created>
  <dcterms:modified xsi:type="dcterms:W3CDTF">2018-03-06T01:02:00Z</dcterms:modified>
  <cp:category>Legislation,Financial_Administration</cp:category>
</cp:coreProperties>
</file>